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3F58AD9">
      <w:pPr>
        <w:spacing w:line="560" w:lineRule="exact"/>
        <w:rPr>
          <w:rFonts w:hint="default" w:ascii="黑体" w:hAnsi="黑体" w:eastAsia="黑体" w:cs="Times New Roman"/>
          <w:sz w:val="32"/>
          <w:szCs w:val="32"/>
          <w:highlight w:val="none"/>
          <w:lang w:val="en-US" w:eastAsia="zh-CN"/>
        </w:rPr>
      </w:pPr>
      <w:bookmarkStart w:id="0" w:name="OLE_LINK6"/>
      <w:r>
        <w:rPr>
          <w:rFonts w:hint="eastAsia" w:ascii="黑体" w:hAnsi="黑体" w:eastAsia="黑体" w:cs="Times New Roman"/>
          <w:sz w:val="32"/>
          <w:szCs w:val="32"/>
          <w:highlight w:val="none"/>
        </w:rPr>
        <w:t>附件</w:t>
      </w:r>
      <w:r>
        <w:rPr>
          <w:rFonts w:hint="eastAsia" w:ascii="黑体" w:hAnsi="黑体" w:eastAsia="黑体" w:cs="Times New Roman"/>
          <w:sz w:val="32"/>
          <w:szCs w:val="32"/>
          <w:highlight w:val="none"/>
          <w:lang w:val="en-US" w:eastAsia="zh-CN"/>
        </w:rPr>
        <w:t>5</w:t>
      </w:r>
    </w:p>
    <w:p w14:paraId="032ED6E1">
      <w:pPr>
        <w:spacing w:line="560" w:lineRule="exact"/>
        <w:jc w:val="both"/>
        <w:outlineLvl w:val="2"/>
        <w:rPr>
          <w:rFonts w:hint="eastAsia" w:ascii="方正小标宋简体" w:hAnsi="Calibri" w:eastAsia="方正小标宋简体" w:cs="Times New Roman"/>
          <w:sz w:val="44"/>
          <w:szCs w:val="44"/>
          <w:highlight w:val="none"/>
        </w:rPr>
      </w:pPr>
    </w:p>
    <w:p w14:paraId="78B60358">
      <w:pPr>
        <w:spacing w:line="560" w:lineRule="exact"/>
        <w:jc w:val="center"/>
        <w:outlineLvl w:val="2"/>
        <w:rPr>
          <w:rFonts w:hint="eastAsia" w:ascii="仿宋_GB2312" w:hAnsi="Calibri" w:eastAsia="仿宋_GB2312" w:cs="Times New Roman"/>
          <w:sz w:val="44"/>
          <w:szCs w:val="44"/>
          <w:highlight w:val="none"/>
        </w:rPr>
      </w:pPr>
      <w:r>
        <w:rPr>
          <w:rFonts w:hint="eastAsia" w:ascii="方正小标宋简体" w:hAnsi="Calibri" w:eastAsia="方正小标宋简体" w:cs="Times New Roman"/>
          <w:sz w:val="44"/>
          <w:szCs w:val="44"/>
          <w:highlight w:val="none"/>
        </w:rPr>
        <w:t>项目</w:t>
      </w:r>
      <w:r>
        <w:rPr>
          <w:rFonts w:hint="eastAsia" w:ascii="方正小标宋简体" w:hAnsi="Calibri" w:eastAsia="方正小标宋简体" w:cs="Times New Roman"/>
          <w:sz w:val="44"/>
          <w:szCs w:val="44"/>
          <w:highlight w:val="none"/>
          <w:lang w:eastAsia="zh-CN"/>
        </w:rPr>
        <w:t>支出</w:t>
      </w:r>
      <w:r>
        <w:rPr>
          <w:rFonts w:hint="eastAsia" w:ascii="方正小标宋简体" w:hAnsi="Calibri" w:eastAsia="方正小标宋简体" w:cs="Times New Roman"/>
          <w:sz w:val="44"/>
          <w:szCs w:val="44"/>
          <w:highlight w:val="none"/>
          <w:lang w:val="en-US" w:eastAsia="zh-CN"/>
        </w:rPr>
        <w:t>部门</w:t>
      </w:r>
      <w:r>
        <w:rPr>
          <w:rFonts w:hint="eastAsia" w:ascii="方正小标宋简体" w:hAnsi="Calibri" w:eastAsia="方正小标宋简体" w:cs="Times New Roman"/>
          <w:sz w:val="44"/>
          <w:szCs w:val="44"/>
          <w:highlight w:val="none"/>
        </w:rPr>
        <w:t>评价报告</w:t>
      </w:r>
    </w:p>
    <w:p w14:paraId="7191B831">
      <w:pPr>
        <w:spacing w:line="560" w:lineRule="exact"/>
        <w:jc w:val="center"/>
        <w:outlineLvl w:val="0"/>
        <w:rPr>
          <w:rFonts w:hint="default" w:ascii="方正小标宋简体" w:hAnsi="Calibri" w:eastAsia="方正小标宋简体" w:cs="Times New Roman"/>
          <w:sz w:val="32"/>
          <w:szCs w:val="32"/>
          <w:highlight w:val="none"/>
          <w:lang w:val="en-US" w:eastAsia="zh-CN"/>
        </w:rPr>
      </w:pPr>
      <w:r>
        <w:rPr>
          <w:rFonts w:hint="eastAsia" w:ascii="方正小标宋简体" w:hAnsi="Calibri" w:eastAsia="方正小标宋简体" w:cs="Times New Roman"/>
          <w:sz w:val="32"/>
          <w:szCs w:val="32"/>
          <w:highlight w:val="none"/>
        </w:rPr>
        <w:t>——</w:t>
      </w:r>
      <w:r>
        <w:rPr>
          <w:rFonts w:hint="eastAsia" w:asciiTheme="majorEastAsia" w:hAnsiTheme="majorEastAsia" w:eastAsiaTheme="majorEastAsia" w:cstheme="majorEastAsia"/>
          <w:b/>
          <w:bCs/>
          <w:sz w:val="32"/>
          <w:szCs w:val="32"/>
          <w:highlight w:val="none"/>
        </w:rPr>
        <w:t>环江毛南族自治县</w:t>
      </w:r>
      <w:r>
        <w:rPr>
          <w:rFonts w:hint="eastAsia" w:asciiTheme="majorEastAsia" w:hAnsiTheme="majorEastAsia" w:eastAsiaTheme="majorEastAsia" w:cstheme="majorEastAsia"/>
          <w:b/>
          <w:bCs/>
          <w:sz w:val="32"/>
          <w:szCs w:val="32"/>
          <w:highlight w:val="none"/>
          <w:lang w:val="en-US" w:eastAsia="zh-CN"/>
        </w:rPr>
        <w:t>第四</w:t>
      </w:r>
      <w:r>
        <w:rPr>
          <w:rFonts w:hint="eastAsia" w:asciiTheme="majorEastAsia" w:hAnsiTheme="majorEastAsia" w:eastAsiaTheme="majorEastAsia" w:cstheme="majorEastAsia"/>
          <w:b/>
          <w:bCs/>
          <w:sz w:val="32"/>
          <w:szCs w:val="32"/>
          <w:highlight w:val="none"/>
        </w:rPr>
        <w:t>初级中学</w:t>
      </w:r>
      <w:r>
        <w:rPr>
          <w:rFonts w:hint="eastAsia" w:asciiTheme="majorEastAsia" w:hAnsiTheme="majorEastAsia" w:eastAsiaTheme="majorEastAsia" w:cstheme="majorEastAsia"/>
          <w:b/>
          <w:bCs/>
          <w:sz w:val="32"/>
          <w:szCs w:val="32"/>
          <w:highlight w:val="none"/>
          <w:lang w:val="en-US" w:eastAsia="zh-CN"/>
        </w:rPr>
        <w:t>教师节经费</w:t>
      </w:r>
    </w:p>
    <w:p w14:paraId="7140A614">
      <w:pPr>
        <w:spacing w:line="560" w:lineRule="exact"/>
        <w:rPr>
          <w:rFonts w:hint="eastAsia" w:ascii="仿宋_GB2312" w:hAnsi="Calibri" w:eastAsia="仿宋_GB2312" w:cs="Times New Roman"/>
          <w:sz w:val="32"/>
          <w:szCs w:val="32"/>
          <w:highlight w:val="none"/>
        </w:rPr>
      </w:pPr>
    </w:p>
    <w:p w14:paraId="5515315B">
      <w:pPr>
        <w:spacing w:line="560" w:lineRule="exact"/>
        <w:ind w:firstLine="640" w:firstLineChars="200"/>
        <w:outlineLvl w:val="1"/>
        <w:rPr>
          <w:rFonts w:hint="eastAsia" w:ascii="黑体" w:hAnsi="黑体" w:eastAsia="黑体" w:cs="Times New Roman"/>
          <w:sz w:val="32"/>
          <w:szCs w:val="32"/>
          <w:highlight w:val="none"/>
        </w:rPr>
      </w:pPr>
      <w:r>
        <w:rPr>
          <w:rFonts w:hint="eastAsia" w:ascii="黑体" w:hAnsi="黑体" w:eastAsia="黑体" w:cs="Times New Roman"/>
          <w:sz w:val="32"/>
          <w:szCs w:val="32"/>
          <w:highlight w:val="none"/>
        </w:rPr>
        <w:t>一、项目基本情况</w:t>
      </w:r>
    </w:p>
    <w:p w14:paraId="629CEC57">
      <w:pPr>
        <w:spacing w:line="560" w:lineRule="exact"/>
        <w:ind w:firstLine="640" w:firstLineChars="200"/>
        <w:outlineLvl w:val="2"/>
        <w:rPr>
          <w:rFonts w:hint="eastAsia" w:ascii="楷体_GB2312" w:hAnsi="Calibri" w:eastAsia="楷体_GB2312" w:cs="Times New Roman"/>
          <w:sz w:val="32"/>
          <w:szCs w:val="32"/>
          <w:highlight w:val="none"/>
        </w:rPr>
      </w:pPr>
      <w:r>
        <w:rPr>
          <w:rFonts w:hint="eastAsia" w:ascii="楷体_GB2312" w:hAnsi="Calibri" w:eastAsia="楷体_GB2312" w:cs="Times New Roman"/>
          <w:sz w:val="32"/>
          <w:szCs w:val="32"/>
          <w:highlight w:val="none"/>
        </w:rPr>
        <w:t>（一）项目立项情况。</w:t>
      </w:r>
    </w:p>
    <w:p w14:paraId="1347A798">
      <w:pPr>
        <w:spacing w:line="560" w:lineRule="exact"/>
        <w:ind w:firstLine="640" w:firstLineChars="200"/>
        <w:rPr>
          <w:rFonts w:hint="eastAsia" w:ascii="仿宋_GB2312" w:hAnsi="Calibri" w:eastAsia="仿宋_GB2312" w:cs="Times New Roman"/>
          <w:sz w:val="32"/>
          <w:szCs w:val="32"/>
          <w:highlight w:val="none"/>
        </w:rPr>
      </w:pPr>
      <w:r>
        <w:rPr>
          <w:rFonts w:hint="eastAsia" w:ascii="仿宋_GB2312" w:hAnsi="Calibri" w:eastAsia="仿宋_GB2312" w:cs="Times New Roman"/>
          <w:sz w:val="32"/>
          <w:szCs w:val="32"/>
          <w:highlight w:val="none"/>
        </w:rPr>
        <w:t>1.项目立项背景。</w:t>
      </w:r>
    </w:p>
    <w:p w14:paraId="2BFE665A">
      <w:pPr>
        <w:spacing w:line="560" w:lineRule="exact"/>
        <w:ind w:firstLine="640" w:firstLineChars="200"/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  <w:t>为提升教师的职业幸福感，增强教师队伍的凝聚力和向心力，促进学校教育事业的健康发展，环江毛南族自治县第四初级中学根据上级政策安排，申请并获批了教师节经费项目。该项目旨在通过财政资金支持，为教师提供节日福利，改善教师的工作和生活条件，提升教师的幸福感和归属感，进而促进学校办学水平的提高，推动教育事业的长足发展。</w:t>
      </w:r>
    </w:p>
    <w:p w14:paraId="126F8F4B">
      <w:pPr>
        <w:spacing w:line="560" w:lineRule="exact"/>
        <w:ind w:firstLine="640" w:firstLineChars="200"/>
        <w:rPr>
          <w:rFonts w:hint="eastAsia" w:ascii="仿宋_GB2312" w:hAnsi="Calibri" w:eastAsia="仿宋_GB2312" w:cs="Times New Roman"/>
          <w:sz w:val="32"/>
          <w:szCs w:val="32"/>
          <w:highlight w:val="none"/>
        </w:rPr>
      </w:pPr>
      <w:r>
        <w:rPr>
          <w:rFonts w:hint="eastAsia" w:ascii="仿宋_GB2312" w:hAnsi="Calibri" w:eastAsia="仿宋_GB2312" w:cs="Times New Roman"/>
          <w:sz w:val="32"/>
          <w:szCs w:val="32"/>
          <w:highlight w:val="none"/>
        </w:rPr>
        <w:t>2.资金用途及目的。</w:t>
      </w:r>
    </w:p>
    <w:p w14:paraId="75BCBFC8">
      <w:pPr>
        <w:spacing w:line="560" w:lineRule="exact"/>
        <w:ind w:firstLine="640" w:firstLineChars="200"/>
        <w:outlineLvl w:val="2"/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  <w:t>该项目资金专项用于教师节期间为教师提供节日福利，包括但不限于慰问品、奖金等。其核心目的在于通过节日福利提升教师的职业幸福感，增强教师队伍的凝聚力和向心力，保障学校教育服务质量，促进学校教育事业的健康发展。</w:t>
      </w:r>
    </w:p>
    <w:p w14:paraId="5989FC39">
      <w:pPr>
        <w:spacing w:line="560" w:lineRule="exact"/>
        <w:ind w:firstLine="640" w:firstLineChars="200"/>
        <w:outlineLvl w:val="2"/>
        <w:rPr>
          <w:rFonts w:hint="eastAsia" w:ascii="楷体_GB2312" w:hAnsi="仿宋_GB2312" w:eastAsia="楷体_GB2312" w:cs="宋体"/>
          <w:color w:val="000000"/>
          <w:sz w:val="32"/>
          <w:szCs w:val="24"/>
          <w:highlight w:val="none"/>
          <w:shd w:val="clear" w:color="auto" w:fill="FFFFFF"/>
        </w:rPr>
      </w:pPr>
      <w:r>
        <w:rPr>
          <w:rFonts w:hint="eastAsia" w:ascii="楷体_GB2312" w:hAnsi="仿宋_GB2312" w:eastAsia="楷体_GB2312" w:cs="宋体"/>
          <w:color w:val="000000"/>
          <w:sz w:val="32"/>
          <w:szCs w:val="24"/>
          <w:highlight w:val="none"/>
          <w:shd w:val="clear" w:color="auto" w:fill="FFFFFF"/>
        </w:rPr>
        <w:t>（二）项目资金管理使用情况。</w:t>
      </w:r>
    </w:p>
    <w:p w14:paraId="364A1710">
      <w:pPr>
        <w:pStyle w:val="5"/>
        <w:widowControl w:val="0"/>
        <w:shd w:val="clear" w:color="auto" w:fill="FFFFFF"/>
        <w:spacing w:before="0" w:beforeAutospacing="0" w:after="0" w:afterAutospacing="0" w:line="560" w:lineRule="exact"/>
        <w:ind w:firstLine="640" w:firstLineChars="200"/>
        <w:jc w:val="both"/>
        <w:rPr>
          <w:rFonts w:hint="eastAsia" w:ascii="仿宋_GB2312" w:hAnsi="仿宋_GB2312" w:eastAsia="仿宋_GB2312" w:cs="宋体"/>
          <w:color w:val="000000"/>
          <w:sz w:val="32"/>
          <w:szCs w:val="24"/>
          <w:highlight w:val="none"/>
          <w:shd w:val="clear" w:color="auto" w:fill="FFFFFF"/>
        </w:rPr>
      </w:pPr>
      <w:r>
        <w:rPr>
          <w:rFonts w:hint="eastAsia" w:ascii="仿宋_GB2312" w:hAnsi="Calibri" w:eastAsia="仿宋_GB2312" w:cs="Times New Roman"/>
          <w:sz w:val="32"/>
          <w:szCs w:val="32"/>
          <w:highlight w:val="none"/>
        </w:rPr>
        <w:t>1.</w:t>
      </w:r>
      <w:r>
        <w:rPr>
          <w:rFonts w:hint="eastAsia" w:ascii="仿宋_GB2312" w:hAnsi="仿宋_GB2312" w:eastAsia="仿宋_GB2312" w:cs="宋体"/>
          <w:color w:val="000000"/>
          <w:sz w:val="32"/>
          <w:szCs w:val="24"/>
          <w:highlight w:val="none"/>
          <w:shd w:val="clear" w:color="auto" w:fill="FFFFFF"/>
        </w:rPr>
        <w:t>项目资金（包括财政资金、自筹资金等）安排落实、总投入等情况。</w:t>
      </w:r>
    </w:p>
    <w:p w14:paraId="4DF3D138">
      <w:pPr>
        <w:pStyle w:val="5"/>
        <w:widowControl w:val="0"/>
        <w:shd w:val="clear" w:color="auto" w:fill="FFFFFF"/>
        <w:spacing w:before="0" w:beforeAutospacing="0" w:after="0" w:afterAutospacing="0" w:line="560" w:lineRule="exact"/>
        <w:ind w:firstLine="640" w:firstLineChars="200"/>
        <w:jc w:val="both"/>
        <w:rPr>
          <w:rFonts w:hint="eastAsia" w:ascii="仿宋_GB2312" w:hAnsi="仿宋_GB2312" w:eastAsia="仿宋_GB2312" w:cs="宋体"/>
          <w:color w:val="000000"/>
          <w:sz w:val="32"/>
          <w:szCs w:val="24"/>
          <w:highlight w:val="none"/>
          <w:shd w:val="clear" w:color="auto" w:fill="FFFFFF"/>
        </w:rPr>
      </w:pPr>
      <w:r>
        <w:rPr>
          <w:rFonts w:hint="eastAsia" w:ascii="仿宋_GB2312" w:hAnsi="仿宋_GB2312" w:eastAsia="仿宋_GB2312" w:cs="宋体"/>
          <w:color w:val="000000"/>
          <w:sz w:val="32"/>
          <w:szCs w:val="24"/>
          <w:highlight w:val="none"/>
          <w:shd w:val="clear" w:color="auto" w:fill="FFFFFF"/>
        </w:rPr>
        <w:t>2024年，环江毛南族自治县</w:t>
      </w:r>
      <w:r>
        <w:rPr>
          <w:rFonts w:hint="eastAsia" w:ascii="仿宋_GB2312" w:hAnsi="仿宋_GB2312" w:eastAsia="仿宋_GB2312" w:cs="宋体"/>
          <w:color w:val="000000"/>
          <w:sz w:val="32"/>
          <w:szCs w:val="24"/>
          <w:highlight w:val="none"/>
          <w:shd w:val="clear" w:color="auto" w:fill="FFFFFF"/>
          <w:lang w:val="en-US" w:eastAsia="zh-CN"/>
        </w:rPr>
        <w:t>第四</w:t>
      </w:r>
      <w:r>
        <w:rPr>
          <w:rFonts w:hint="eastAsia" w:ascii="仿宋_GB2312" w:hAnsi="仿宋_GB2312" w:eastAsia="仿宋_GB2312" w:cs="宋体"/>
          <w:color w:val="000000"/>
          <w:sz w:val="32"/>
          <w:szCs w:val="24"/>
          <w:highlight w:val="none"/>
          <w:shd w:val="clear" w:color="auto" w:fill="FFFFFF"/>
        </w:rPr>
        <w:t>初级中学教师节经费项目资金全部来源于本级财政拨款，共计4599元。学校未安排自筹资金用于该项目。所有资金均已按照计划安排落实到位，确保了项目顺利实施。</w:t>
      </w:r>
    </w:p>
    <w:p w14:paraId="65E10470">
      <w:pPr>
        <w:pStyle w:val="5"/>
        <w:widowControl w:val="0"/>
        <w:shd w:val="clear" w:color="auto" w:fill="FFFFFF"/>
        <w:spacing w:before="0" w:beforeAutospacing="0" w:after="0" w:afterAutospacing="0" w:line="560" w:lineRule="exact"/>
        <w:ind w:firstLine="640" w:firstLineChars="200"/>
        <w:jc w:val="both"/>
        <w:rPr>
          <w:rFonts w:hint="eastAsia" w:ascii="仿宋_GB2312" w:hAnsi="仿宋_GB2312" w:eastAsia="仿宋_GB2312" w:cs="宋体"/>
          <w:color w:val="000000"/>
          <w:sz w:val="32"/>
          <w:szCs w:val="24"/>
          <w:highlight w:val="none"/>
          <w:shd w:val="clear" w:color="auto" w:fill="FFFFFF"/>
        </w:rPr>
      </w:pPr>
      <w:r>
        <w:rPr>
          <w:rFonts w:hint="eastAsia" w:ascii="仿宋_GB2312" w:hAnsi="仿宋_GB2312" w:eastAsia="仿宋_GB2312" w:cs="宋体"/>
          <w:color w:val="000000"/>
          <w:sz w:val="32"/>
          <w:szCs w:val="24"/>
          <w:highlight w:val="none"/>
          <w:shd w:val="clear" w:color="auto" w:fill="FFFFFF"/>
        </w:rPr>
        <w:t>2.项目资金（主要是指财政资金）实际使用情况，包括项目主要内容和涉及范围。</w:t>
      </w:r>
    </w:p>
    <w:p w14:paraId="58B08C84">
      <w:pPr>
        <w:pStyle w:val="5"/>
        <w:widowControl w:val="0"/>
        <w:shd w:val="clear" w:color="auto" w:fill="FFFFFF"/>
        <w:spacing w:before="0" w:beforeAutospacing="0" w:after="0" w:afterAutospacing="0" w:line="560" w:lineRule="exact"/>
        <w:ind w:firstLine="640" w:firstLineChars="200"/>
        <w:jc w:val="both"/>
        <w:rPr>
          <w:rFonts w:hint="eastAsia" w:ascii="仿宋_GB2312" w:hAnsi="仿宋_GB2312" w:eastAsia="仿宋_GB2312" w:cs="宋体"/>
          <w:color w:val="000000"/>
          <w:sz w:val="32"/>
          <w:szCs w:val="24"/>
          <w:highlight w:val="none"/>
          <w:shd w:val="clear" w:color="auto" w:fill="FFFFFF"/>
        </w:rPr>
      </w:pPr>
      <w:r>
        <w:rPr>
          <w:rFonts w:hint="eastAsia" w:ascii="仿宋_GB2312" w:hAnsi="仿宋_GB2312" w:eastAsia="仿宋_GB2312" w:cs="宋体"/>
          <w:color w:val="000000"/>
          <w:sz w:val="32"/>
          <w:szCs w:val="24"/>
          <w:highlight w:val="none"/>
          <w:shd w:val="clear" w:color="auto" w:fill="FFFFFF"/>
        </w:rPr>
        <w:t>项目资金主要用于为教师提供节日福利，具体包括：</w:t>
      </w:r>
    </w:p>
    <w:p w14:paraId="4C874900">
      <w:pPr>
        <w:pStyle w:val="5"/>
        <w:widowControl w:val="0"/>
        <w:shd w:val="clear" w:color="auto" w:fill="FFFFFF"/>
        <w:spacing w:before="0" w:beforeAutospacing="0" w:after="0" w:afterAutospacing="0" w:line="560" w:lineRule="exact"/>
        <w:ind w:firstLine="640" w:firstLineChars="200"/>
        <w:jc w:val="both"/>
        <w:rPr>
          <w:rFonts w:hint="eastAsia" w:ascii="仿宋_GB2312" w:hAnsi="仿宋_GB2312" w:eastAsia="仿宋_GB2312" w:cs="宋体"/>
          <w:color w:val="000000"/>
          <w:sz w:val="32"/>
          <w:szCs w:val="24"/>
          <w:highlight w:val="none"/>
          <w:shd w:val="clear" w:color="auto" w:fill="FFFFFF"/>
        </w:rPr>
      </w:pPr>
      <w:r>
        <w:rPr>
          <w:rFonts w:hint="eastAsia" w:ascii="仿宋_GB2312" w:hAnsi="仿宋_GB2312" w:eastAsia="仿宋_GB2312" w:cs="宋体"/>
          <w:color w:val="000000"/>
          <w:sz w:val="32"/>
          <w:szCs w:val="24"/>
          <w:highlight w:val="none"/>
          <w:shd w:val="clear" w:color="auto" w:fill="FFFFFF"/>
        </w:rPr>
        <w:t>教师人数：覆盖学校全体教师</w:t>
      </w:r>
      <w:r>
        <w:rPr>
          <w:rFonts w:hint="eastAsia" w:ascii="仿宋_GB2312" w:hAnsi="仿宋_GB2312" w:eastAsia="仿宋_GB2312" w:cs="宋体"/>
          <w:color w:val="000000"/>
          <w:sz w:val="32"/>
          <w:szCs w:val="24"/>
          <w:highlight w:val="none"/>
          <w:shd w:val="clear" w:color="auto" w:fill="FFFFFF"/>
          <w:lang w:val="en-US" w:eastAsia="zh-CN"/>
        </w:rPr>
        <w:t>23人</w:t>
      </w:r>
      <w:r>
        <w:rPr>
          <w:rFonts w:hint="eastAsia" w:ascii="仿宋_GB2312" w:hAnsi="仿宋_GB2312" w:eastAsia="仿宋_GB2312" w:cs="宋体"/>
          <w:color w:val="000000"/>
          <w:sz w:val="32"/>
          <w:szCs w:val="24"/>
          <w:highlight w:val="none"/>
          <w:shd w:val="clear" w:color="auto" w:fill="FFFFFF"/>
        </w:rPr>
        <w:t>。</w:t>
      </w:r>
    </w:p>
    <w:p w14:paraId="73343B8D">
      <w:pPr>
        <w:pStyle w:val="5"/>
        <w:widowControl w:val="0"/>
        <w:shd w:val="clear" w:color="auto" w:fill="FFFFFF"/>
        <w:spacing w:before="0" w:beforeAutospacing="0" w:after="0" w:afterAutospacing="0" w:line="560" w:lineRule="exact"/>
        <w:ind w:firstLine="640" w:firstLineChars="200"/>
        <w:jc w:val="both"/>
        <w:rPr>
          <w:rFonts w:hint="eastAsia" w:ascii="仿宋_GB2312" w:hAnsi="仿宋_GB2312" w:eastAsia="仿宋_GB2312" w:cs="宋体"/>
          <w:color w:val="000000"/>
          <w:sz w:val="32"/>
          <w:szCs w:val="24"/>
          <w:highlight w:val="none"/>
          <w:shd w:val="clear" w:color="auto" w:fill="FFFFFF"/>
        </w:rPr>
      </w:pPr>
      <w:r>
        <w:rPr>
          <w:rFonts w:hint="eastAsia" w:ascii="仿宋_GB2312" w:hAnsi="仿宋_GB2312" w:eastAsia="仿宋_GB2312" w:cs="宋体"/>
          <w:color w:val="000000"/>
          <w:sz w:val="32"/>
          <w:szCs w:val="24"/>
          <w:highlight w:val="none"/>
          <w:shd w:val="clear" w:color="auto" w:fill="FFFFFF"/>
        </w:rPr>
        <w:t>福利内容：发放节日慰问品和奖金。</w:t>
      </w:r>
    </w:p>
    <w:p w14:paraId="47A7DF0E">
      <w:pPr>
        <w:pStyle w:val="5"/>
        <w:widowControl w:val="0"/>
        <w:shd w:val="clear" w:color="auto" w:fill="FFFFFF"/>
        <w:spacing w:before="0" w:beforeAutospacing="0" w:after="0" w:afterAutospacing="0" w:line="560" w:lineRule="exact"/>
        <w:ind w:firstLine="640" w:firstLineChars="200"/>
        <w:jc w:val="both"/>
        <w:rPr>
          <w:rFonts w:hint="eastAsia" w:ascii="仿宋_GB2312" w:hAnsi="仿宋_GB2312" w:eastAsia="仿宋_GB2312" w:cs="宋体"/>
          <w:color w:val="000000"/>
          <w:sz w:val="32"/>
          <w:szCs w:val="24"/>
          <w:highlight w:val="none"/>
          <w:shd w:val="clear" w:color="auto" w:fill="FFFFFF"/>
        </w:rPr>
      </w:pPr>
      <w:r>
        <w:rPr>
          <w:rFonts w:hint="eastAsia" w:ascii="仿宋_GB2312" w:hAnsi="仿宋_GB2312" w:eastAsia="仿宋_GB2312" w:cs="宋体"/>
          <w:color w:val="000000"/>
          <w:sz w:val="32"/>
          <w:szCs w:val="24"/>
          <w:highlight w:val="none"/>
          <w:shd w:val="clear" w:color="auto" w:fill="FFFFFF"/>
        </w:rPr>
        <w:t>本年度，项目资金实际支出</w:t>
      </w:r>
      <w:r>
        <w:rPr>
          <w:rFonts w:hint="eastAsia" w:ascii="仿宋_GB2312" w:hAnsi="仿宋_GB2312" w:eastAsia="仿宋_GB2312" w:cs="宋体"/>
          <w:color w:val="000000"/>
          <w:sz w:val="32"/>
          <w:szCs w:val="24"/>
          <w:highlight w:val="none"/>
          <w:shd w:val="clear" w:color="auto" w:fill="FFFFFF"/>
          <w:lang w:val="en-US" w:eastAsia="zh-CN"/>
        </w:rPr>
        <w:t>14799</w:t>
      </w:r>
      <w:r>
        <w:rPr>
          <w:rFonts w:hint="eastAsia" w:ascii="仿宋_GB2312" w:hAnsi="仿宋_GB2312" w:eastAsia="仿宋_GB2312" w:cs="宋体"/>
          <w:color w:val="000000"/>
          <w:sz w:val="32"/>
          <w:szCs w:val="24"/>
          <w:highlight w:val="none"/>
          <w:shd w:val="clear" w:color="auto" w:fill="FFFFFF"/>
        </w:rPr>
        <w:t>元，主要用于上述方面，确保了教师能够享受到稳定的节日福利。</w:t>
      </w:r>
    </w:p>
    <w:p w14:paraId="0B4D8230">
      <w:pPr>
        <w:pStyle w:val="5"/>
        <w:widowControl w:val="0"/>
        <w:shd w:val="clear" w:color="auto" w:fill="FFFFFF"/>
        <w:spacing w:before="0" w:beforeAutospacing="0" w:after="0" w:afterAutospacing="0" w:line="560" w:lineRule="exact"/>
        <w:ind w:firstLine="640" w:firstLineChars="200"/>
        <w:jc w:val="both"/>
        <w:rPr>
          <w:rFonts w:hint="eastAsia" w:ascii="仿宋_GB2312" w:hAnsi="仿宋_GB2312" w:eastAsia="仿宋_GB2312" w:cs="宋体"/>
          <w:color w:val="000000"/>
          <w:sz w:val="32"/>
          <w:szCs w:val="24"/>
          <w:highlight w:val="none"/>
          <w:shd w:val="clear" w:color="auto" w:fill="FFFFFF"/>
        </w:rPr>
      </w:pPr>
      <w:r>
        <w:rPr>
          <w:rFonts w:hint="eastAsia" w:ascii="仿宋_GB2312" w:hAnsi="仿宋_GB2312" w:eastAsia="仿宋_GB2312" w:cs="宋体"/>
          <w:color w:val="000000"/>
          <w:sz w:val="32"/>
          <w:szCs w:val="24"/>
          <w:highlight w:val="none"/>
          <w:shd w:val="clear" w:color="auto" w:fill="FFFFFF"/>
        </w:rPr>
        <w:t>3.项目资金管理情况（包括管理制度、办法的制订及执行情况）。</w:t>
      </w:r>
    </w:p>
    <w:p w14:paraId="7B20FB8E">
      <w:pPr>
        <w:spacing w:line="560" w:lineRule="exact"/>
        <w:ind w:firstLine="640" w:firstLineChars="200"/>
        <w:rPr>
          <w:rFonts w:hint="eastAsia" w:ascii="仿宋_GB2312" w:hAnsi="仿宋_GB2312" w:eastAsia="仿宋_GB2312" w:cs="宋体"/>
          <w:color w:val="000000"/>
          <w:sz w:val="32"/>
          <w:szCs w:val="24"/>
          <w:highlight w:val="none"/>
          <w:shd w:val="clear" w:color="auto" w:fill="FFFFFF"/>
        </w:rPr>
      </w:pPr>
      <w:r>
        <w:rPr>
          <w:rFonts w:hint="eastAsia" w:ascii="仿宋_GB2312" w:hAnsi="仿宋_GB2312" w:eastAsia="仿宋_GB2312" w:cs="宋体"/>
          <w:color w:val="000000"/>
          <w:sz w:val="32"/>
          <w:szCs w:val="24"/>
          <w:highlight w:val="none"/>
          <w:shd w:val="clear" w:color="auto" w:fill="FFFFFF"/>
        </w:rPr>
        <w:t>为确保项目资金的合理使用和管理，学校制定了《教师节经费专项资金管理制度》，明确了资金的使用范围、审批流程、报销要求等。在执行过程中，严格按照制度要求进行操作，确保每一笔资金的使用都有据可依、有章可循。同时，学校定期对资金使用情况进行内部审计和检查，及时发现并纠正存在的问题，保障资金的安全和合规使用。</w:t>
      </w:r>
    </w:p>
    <w:p w14:paraId="7055B4FE">
      <w:pPr>
        <w:spacing w:line="560" w:lineRule="exact"/>
        <w:ind w:firstLine="640" w:firstLineChars="200"/>
        <w:rPr>
          <w:rFonts w:hint="eastAsia" w:ascii="仿宋_GB2312" w:hAnsi="仿宋_GB2312" w:eastAsia="仿宋_GB2312" w:cs="宋体"/>
          <w:color w:val="000000"/>
          <w:sz w:val="32"/>
          <w:szCs w:val="24"/>
          <w:highlight w:val="none"/>
          <w:shd w:val="clear" w:color="auto" w:fill="FFFFFF"/>
        </w:rPr>
      </w:pPr>
      <w:r>
        <w:rPr>
          <w:rFonts w:hint="eastAsia" w:ascii="仿宋_GB2312" w:hAnsi="仿宋_GB2312" w:eastAsia="仿宋_GB2312" w:cs="宋体"/>
          <w:color w:val="000000"/>
          <w:sz w:val="32"/>
          <w:szCs w:val="24"/>
          <w:highlight w:val="none"/>
          <w:shd w:val="clear" w:color="auto" w:fill="FFFFFF"/>
        </w:rPr>
        <w:t>4.项目资金支出及拨付合规性情况。</w:t>
      </w:r>
    </w:p>
    <w:p w14:paraId="6296F4F1">
      <w:pPr>
        <w:spacing w:line="560" w:lineRule="exact"/>
        <w:ind w:firstLine="640" w:firstLineChars="200"/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  <w:t>在资金支出及拨付过程中，学校严格遵守国家相关法律法规和财务管理制度，确保资金支出的合规性。所有资金支出均经过严格的审批程序，由经办人、部门负责人、财务负责人及学校领导逐级审核签字后方能支付。同时，学校按照财政部门的要求，及时准确地报送资金使用情况报表，确保资金拨付的及时性和准确性。经自查，本年度项目资金支出及拨付均符合相关规定，未发现违规行为。</w:t>
      </w:r>
    </w:p>
    <w:p w14:paraId="7AB2D560">
      <w:pPr>
        <w:numPr>
          <w:ilvl w:val="0"/>
          <w:numId w:val="1"/>
        </w:numPr>
        <w:spacing w:line="560" w:lineRule="exact"/>
        <w:ind w:firstLine="640" w:firstLineChars="200"/>
        <w:outlineLvl w:val="2"/>
        <w:rPr>
          <w:rFonts w:hint="eastAsia" w:ascii="楷体_GB2312" w:hAnsi="Calibri" w:eastAsia="楷体_GB2312" w:cs="Times New Roman"/>
          <w:sz w:val="32"/>
          <w:szCs w:val="32"/>
          <w:highlight w:val="none"/>
        </w:rPr>
      </w:pPr>
      <w:r>
        <w:rPr>
          <w:rFonts w:hint="eastAsia" w:ascii="楷体_GB2312" w:hAnsi="Calibri" w:eastAsia="楷体_GB2312" w:cs="Times New Roman"/>
          <w:sz w:val="32"/>
          <w:szCs w:val="32"/>
          <w:highlight w:val="none"/>
        </w:rPr>
        <w:t>年初绩效目标及其衡量指标设定情况。</w:t>
      </w:r>
    </w:p>
    <w:p w14:paraId="6227A4CD">
      <w:pPr>
        <w:spacing w:line="560" w:lineRule="exact"/>
        <w:ind w:firstLine="640" w:firstLineChars="200"/>
        <w:outlineLvl w:val="2"/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  <w:t>年初，学校根据教师节经费项目的实际情况，设定了以下绩效目标及衡量指标：</w:t>
      </w:r>
    </w:p>
    <w:p w14:paraId="57004E6B">
      <w:pPr>
        <w:spacing w:line="560" w:lineRule="exact"/>
        <w:ind w:firstLine="640" w:firstLineChars="200"/>
        <w:outlineLvl w:val="2"/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  <w:t>绩效目标：通过教师节经费的投入，提升教师的职业幸福感，增强教师队伍的凝聚力和向心力，保障学校教育服务质量，促进学校教育事业的健康发展。</w:t>
      </w:r>
    </w:p>
    <w:p w14:paraId="5E8339C3">
      <w:pPr>
        <w:spacing w:line="560" w:lineRule="exact"/>
        <w:ind w:firstLine="640" w:firstLineChars="200"/>
        <w:outlineLvl w:val="2"/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  <w:t>衡量指标：</w:t>
      </w:r>
    </w:p>
    <w:p w14:paraId="53EB9613">
      <w:pPr>
        <w:spacing w:line="560" w:lineRule="exact"/>
        <w:ind w:firstLine="640" w:firstLineChars="200"/>
        <w:outlineLvl w:val="2"/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  <w:t>数量指标：学校所数=23人。</w:t>
      </w:r>
    </w:p>
    <w:p w14:paraId="5C86D206">
      <w:pPr>
        <w:spacing w:line="560" w:lineRule="exact"/>
        <w:ind w:firstLine="640" w:firstLineChars="200"/>
        <w:outlineLvl w:val="2"/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  <w:t>质量指标：</w:t>
      </w:r>
    </w:p>
    <w:p w14:paraId="1C77B9D9">
      <w:pPr>
        <w:spacing w:line="560" w:lineRule="exact"/>
        <w:ind w:firstLine="640" w:firstLineChars="200"/>
        <w:outlineLvl w:val="2"/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  <w:t>经费发放合规率=100%。</w:t>
      </w:r>
    </w:p>
    <w:p w14:paraId="3EC53989">
      <w:pPr>
        <w:spacing w:line="560" w:lineRule="exact"/>
        <w:ind w:firstLine="640" w:firstLineChars="200"/>
        <w:outlineLvl w:val="2"/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  <w:t>教师节经费合规性=合规。</w:t>
      </w:r>
    </w:p>
    <w:p w14:paraId="06EC7859">
      <w:pPr>
        <w:spacing w:line="560" w:lineRule="exact"/>
        <w:ind w:firstLine="640" w:firstLineChars="200"/>
        <w:outlineLvl w:val="2"/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  <w:t>时效指标：项目完成时间在 2024 年 12 月 31 日前。</w:t>
      </w:r>
    </w:p>
    <w:p w14:paraId="72D1353E">
      <w:pPr>
        <w:spacing w:line="560" w:lineRule="exact"/>
        <w:ind w:firstLine="640" w:firstLineChars="200"/>
        <w:outlineLvl w:val="2"/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  <w:t>成本指标：项目总成本≤14799 元。</w:t>
      </w:r>
    </w:p>
    <w:p w14:paraId="4A842FF5">
      <w:pPr>
        <w:spacing w:line="560" w:lineRule="exact"/>
        <w:ind w:firstLine="640" w:firstLineChars="200"/>
        <w:outlineLvl w:val="2"/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  <w:t>效益指标：</w:t>
      </w:r>
    </w:p>
    <w:p w14:paraId="57B85215">
      <w:pPr>
        <w:spacing w:line="560" w:lineRule="exact"/>
        <w:ind w:firstLine="640" w:firstLineChars="200"/>
        <w:outlineLvl w:val="2"/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  <w:t>提升教师幸福感，效果明显。</w:t>
      </w:r>
    </w:p>
    <w:p w14:paraId="58BEDF8B">
      <w:pPr>
        <w:spacing w:line="560" w:lineRule="exact"/>
        <w:ind w:firstLine="640" w:firstLineChars="200"/>
        <w:outlineLvl w:val="2"/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  <w:t>保障学校教育服务质量，效果明显。</w:t>
      </w:r>
    </w:p>
    <w:p w14:paraId="3C9742FE">
      <w:pPr>
        <w:spacing w:line="560" w:lineRule="exact"/>
        <w:ind w:firstLine="640" w:firstLineChars="200"/>
        <w:outlineLvl w:val="2"/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  <w:t>满意度指标：教师对待遇的满意度≥99%。</w:t>
      </w:r>
    </w:p>
    <w:p w14:paraId="3CDB3593">
      <w:pPr>
        <w:spacing w:line="560" w:lineRule="exact"/>
        <w:ind w:firstLine="640" w:firstLineChars="200"/>
        <w:outlineLvl w:val="2"/>
        <w:rPr>
          <w:rFonts w:hint="eastAsia" w:ascii="楷体_GB2312" w:hAnsi="Calibri" w:eastAsia="楷体_GB2312" w:cs="Times New Roman"/>
          <w:sz w:val="32"/>
          <w:szCs w:val="32"/>
          <w:highlight w:val="none"/>
        </w:rPr>
      </w:pPr>
      <w:r>
        <w:rPr>
          <w:rFonts w:hint="eastAsia" w:ascii="楷体_GB2312" w:hAnsi="Calibri" w:eastAsia="楷体_GB2312" w:cs="Times New Roman"/>
          <w:sz w:val="32"/>
          <w:szCs w:val="32"/>
          <w:highlight w:val="none"/>
        </w:rPr>
        <w:t>（四）项目组织管理情况。</w:t>
      </w:r>
    </w:p>
    <w:p w14:paraId="5496B8BE">
      <w:pPr>
        <w:pStyle w:val="5"/>
        <w:shd w:val="clear" w:color="auto" w:fill="FFFFFF"/>
        <w:spacing w:before="0" w:beforeAutospacing="0" w:after="0" w:afterAutospacing="0" w:line="560" w:lineRule="exact"/>
        <w:ind w:firstLine="640" w:firstLineChars="200"/>
        <w:jc w:val="both"/>
        <w:rPr>
          <w:rFonts w:hint="eastAsia" w:ascii="仿宋_GB2312" w:hAnsi="仿宋_GB2312" w:eastAsia="仿宋_GB2312" w:cs="宋体"/>
          <w:color w:val="000000"/>
          <w:sz w:val="32"/>
          <w:szCs w:val="24"/>
          <w:highlight w:val="none"/>
          <w:shd w:val="clear" w:color="auto" w:fill="FFFFFF"/>
        </w:rPr>
      </w:pPr>
      <w:r>
        <w:rPr>
          <w:rFonts w:hint="eastAsia" w:ascii="仿宋_GB2312" w:hAnsi="仿宋_GB2312" w:eastAsia="仿宋_GB2312" w:cs="宋体"/>
          <w:color w:val="000000"/>
          <w:sz w:val="32"/>
          <w:szCs w:val="24"/>
          <w:highlight w:val="none"/>
          <w:shd w:val="clear" w:color="auto" w:fill="FFFFFF"/>
        </w:rPr>
        <w:t>1.项目组织情况（包括项目招投标情况、调整情况、完成验收等）。</w:t>
      </w:r>
    </w:p>
    <w:p w14:paraId="23D41814">
      <w:pPr>
        <w:pStyle w:val="5"/>
        <w:widowControl w:val="0"/>
        <w:shd w:val="clear" w:color="auto" w:fill="FFFFFF"/>
        <w:spacing w:before="0" w:beforeAutospacing="0" w:after="0" w:afterAutospacing="0" w:line="560" w:lineRule="exact"/>
        <w:ind w:firstLine="640" w:firstLineChars="200"/>
        <w:jc w:val="both"/>
        <w:rPr>
          <w:rFonts w:hint="eastAsia" w:ascii="仿宋_GB2312" w:hAnsi="仿宋_GB2312" w:eastAsia="仿宋_GB2312" w:cs="宋体"/>
          <w:color w:val="000000"/>
          <w:sz w:val="32"/>
          <w:szCs w:val="24"/>
          <w:highlight w:val="none"/>
          <w:shd w:val="clear" w:color="auto" w:fill="FFFFFF"/>
        </w:rPr>
      </w:pPr>
      <w:r>
        <w:rPr>
          <w:rFonts w:hint="eastAsia" w:ascii="仿宋_GB2312" w:hAnsi="仿宋_GB2312" w:eastAsia="仿宋_GB2312" w:cs="宋体"/>
          <w:color w:val="000000"/>
          <w:sz w:val="32"/>
          <w:szCs w:val="24"/>
          <w:highlight w:val="none"/>
          <w:shd w:val="clear" w:color="auto" w:fill="FFFFFF"/>
        </w:rPr>
        <w:t>本项目未涉及招投标环节。在项目实施过程中，根据实际情况，学校对部分资金使用方向进行了适当调整，以更好地满足教师需求。截至本年度末，项目已顺利完成验收，资金使用情况良好，各项绩效目标基本达成。</w:t>
      </w:r>
    </w:p>
    <w:p w14:paraId="04BFCE16">
      <w:pPr>
        <w:pStyle w:val="5"/>
        <w:widowControl w:val="0"/>
        <w:shd w:val="clear" w:color="auto" w:fill="FFFFFF"/>
        <w:spacing w:before="0" w:beforeAutospacing="0" w:after="0" w:afterAutospacing="0" w:line="560" w:lineRule="exact"/>
        <w:ind w:firstLine="640" w:firstLineChars="200"/>
        <w:jc w:val="both"/>
        <w:rPr>
          <w:rFonts w:hint="eastAsia" w:ascii="仿宋_GB2312" w:hAnsi="仿宋_GB2312" w:eastAsia="仿宋_GB2312" w:cs="宋体"/>
          <w:color w:val="000000"/>
          <w:sz w:val="32"/>
          <w:szCs w:val="24"/>
          <w:highlight w:val="none"/>
          <w:shd w:val="clear" w:color="auto" w:fill="FFFFFF"/>
        </w:rPr>
      </w:pPr>
      <w:r>
        <w:rPr>
          <w:rFonts w:hint="eastAsia" w:ascii="仿宋_GB2312" w:hAnsi="仿宋_GB2312" w:eastAsia="仿宋_GB2312" w:cs="宋体"/>
          <w:color w:val="000000"/>
          <w:sz w:val="32"/>
          <w:szCs w:val="24"/>
          <w:highlight w:val="none"/>
          <w:shd w:val="clear" w:color="auto" w:fill="FFFFFF"/>
        </w:rPr>
        <w:t>2.项目管理情况（包括项目管理制度建设、日常检查监督管理等情况）。</w:t>
      </w:r>
    </w:p>
    <w:p w14:paraId="7C562F5C">
      <w:pPr>
        <w:spacing w:line="560" w:lineRule="exact"/>
        <w:ind w:firstLine="640" w:firstLineChars="200"/>
        <w:outlineLvl w:val="1"/>
        <w:rPr>
          <w:rFonts w:hint="eastAsia" w:ascii="仿宋_GB2312" w:hAnsi="仿宋_GB2312" w:eastAsia="仿宋_GB2312" w:cs="宋体"/>
          <w:color w:val="000000"/>
          <w:sz w:val="32"/>
          <w:szCs w:val="24"/>
          <w:highlight w:val="none"/>
          <w:shd w:val="clear" w:color="auto" w:fill="FFFFFF"/>
        </w:rPr>
      </w:pPr>
      <w:r>
        <w:rPr>
          <w:rFonts w:hint="eastAsia" w:ascii="仿宋_GB2312" w:hAnsi="仿宋_GB2312" w:eastAsia="仿宋_GB2312" w:cs="宋体"/>
          <w:color w:val="000000"/>
          <w:sz w:val="32"/>
          <w:szCs w:val="24"/>
          <w:highlight w:val="none"/>
          <w:shd w:val="clear" w:color="auto" w:fill="FFFFFF"/>
        </w:rPr>
        <w:t>学校高度重视教师节经费项目的管理工作，建立健全了项目管理制度，明确了各部门及人员的职责分工，确保项目管理工作的有序开展。在日常管理中，学校定期对资金使用情况进行检查和监督，及时了解项目实施过程中的问题和困难，并积极协调解决。同时，学校还建立了项目监督检查机制，定期对项目实施情况进行全面检查和评估，及时发现并解决问题，保障项目的顺利实施。</w:t>
      </w:r>
    </w:p>
    <w:p w14:paraId="14D89D43">
      <w:pPr>
        <w:spacing w:line="560" w:lineRule="exact"/>
        <w:ind w:firstLine="640" w:firstLineChars="200"/>
        <w:outlineLvl w:val="1"/>
        <w:rPr>
          <w:rFonts w:hint="eastAsia" w:ascii="黑体" w:hAnsi="黑体" w:eastAsia="黑体" w:cs="Times New Roman"/>
          <w:sz w:val="32"/>
          <w:szCs w:val="32"/>
          <w:highlight w:val="none"/>
        </w:rPr>
      </w:pPr>
      <w:r>
        <w:rPr>
          <w:rFonts w:hint="eastAsia" w:ascii="黑体" w:hAnsi="黑体" w:eastAsia="黑体" w:cs="Times New Roman"/>
          <w:sz w:val="32"/>
          <w:szCs w:val="32"/>
          <w:highlight w:val="none"/>
        </w:rPr>
        <w:t>二、项目评价工作开展情况</w:t>
      </w:r>
    </w:p>
    <w:p w14:paraId="5B75ECCE">
      <w:pPr>
        <w:spacing w:line="560" w:lineRule="exact"/>
        <w:ind w:firstLine="640" w:firstLineChars="200"/>
        <w:outlineLvl w:val="2"/>
        <w:rPr>
          <w:rFonts w:hint="eastAsia" w:ascii="楷体_GB2312" w:hAnsi="仿宋_GB2312" w:eastAsia="楷体_GB2312" w:cs="Times New Roman"/>
          <w:sz w:val="32"/>
          <w:szCs w:val="32"/>
          <w:highlight w:val="none"/>
        </w:rPr>
      </w:pPr>
      <w:r>
        <w:rPr>
          <w:rFonts w:hint="eastAsia" w:ascii="楷体_GB2312" w:hAnsi="仿宋_GB2312" w:eastAsia="楷体_GB2312" w:cs="Times New Roman"/>
          <w:sz w:val="32"/>
          <w:szCs w:val="32"/>
          <w:highlight w:val="none"/>
        </w:rPr>
        <w:t>（一）评价指标构建及细化情况</w:t>
      </w:r>
    </w:p>
    <w:p w14:paraId="18558E72">
      <w:pPr>
        <w:spacing w:line="560" w:lineRule="exact"/>
        <w:ind w:firstLine="640" w:firstLineChars="200"/>
        <w:outlineLvl w:val="2"/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  <w:t>为全面、客观地评价教师节经费项目的绩效情况，学校构建了以下评价指标体系，并进行了细化：</w:t>
      </w:r>
    </w:p>
    <w:p w14:paraId="2A2FCADB">
      <w:pPr>
        <w:spacing w:line="560" w:lineRule="exact"/>
        <w:ind w:firstLine="640" w:firstLineChars="200"/>
        <w:outlineLvl w:val="2"/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  <w:t>资金管理指标：</w:t>
      </w:r>
    </w:p>
    <w:p w14:paraId="182B7FA7">
      <w:pPr>
        <w:spacing w:line="560" w:lineRule="exact"/>
        <w:ind w:firstLine="640" w:firstLineChars="200"/>
        <w:outlineLvl w:val="2"/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  <w:t>资金落实情况：检查资金是否按时足额到位。</w:t>
      </w:r>
    </w:p>
    <w:p w14:paraId="14CE4E3A">
      <w:pPr>
        <w:spacing w:line="560" w:lineRule="exact"/>
        <w:ind w:firstLine="640" w:firstLineChars="200"/>
        <w:outlineLvl w:val="2"/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  <w:t>资金使用合规性：审核资金支出是否符合相关规定。</w:t>
      </w:r>
    </w:p>
    <w:p w14:paraId="46CF66B9">
      <w:pPr>
        <w:spacing w:line="560" w:lineRule="exact"/>
        <w:ind w:firstLine="640" w:firstLineChars="200"/>
        <w:outlineLvl w:val="2"/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  <w:t>资金使用效率：评估资金是否得到有效利用。</w:t>
      </w:r>
    </w:p>
    <w:p w14:paraId="4736C46E">
      <w:pPr>
        <w:spacing w:line="560" w:lineRule="exact"/>
        <w:ind w:firstLine="640" w:firstLineChars="200"/>
        <w:outlineLvl w:val="2"/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  <w:t>项目实施指标：</w:t>
      </w:r>
    </w:p>
    <w:p w14:paraId="25F17C3A">
      <w:pPr>
        <w:spacing w:line="560" w:lineRule="exact"/>
        <w:ind w:firstLine="640" w:firstLineChars="200"/>
        <w:outlineLvl w:val="2"/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  <w:t>学校所数：统计享受项目支持的学校数量。</w:t>
      </w:r>
    </w:p>
    <w:p w14:paraId="51AC814A">
      <w:pPr>
        <w:spacing w:line="560" w:lineRule="exact"/>
        <w:ind w:firstLine="640" w:firstLineChars="200"/>
        <w:outlineLvl w:val="2"/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  <w:t>经费发放合规率：评估经费发放的合规性。</w:t>
      </w:r>
    </w:p>
    <w:p w14:paraId="782CAC43">
      <w:pPr>
        <w:spacing w:line="560" w:lineRule="exact"/>
        <w:ind w:firstLine="640" w:firstLineChars="200"/>
        <w:outlineLvl w:val="2"/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  <w:t>教师节经费合规性：评估经费使用的合规性。</w:t>
      </w:r>
    </w:p>
    <w:p w14:paraId="4B0CF2F4">
      <w:pPr>
        <w:spacing w:line="560" w:lineRule="exact"/>
        <w:ind w:firstLine="640" w:firstLineChars="200"/>
        <w:outlineLvl w:val="2"/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  <w:t>项目完成时间：检查项目是否在规定时间内完成。</w:t>
      </w:r>
    </w:p>
    <w:p w14:paraId="2C57F4D7">
      <w:pPr>
        <w:spacing w:line="560" w:lineRule="exact"/>
        <w:ind w:firstLine="640" w:firstLineChars="200"/>
        <w:outlineLvl w:val="2"/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  <w:t>项目总成本：评估项目实际支出是否符合预算。</w:t>
      </w:r>
    </w:p>
    <w:p w14:paraId="0D8363D4">
      <w:pPr>
        <w:spacing w:line="560" w:lineRule="exact"/>
        <w:ind w:firstLine="640" w:firstLineChars="200"/>
        <w:outlineLvl w:val="2"/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  <w:t>项目效益指标：</w:t>
      </w:r>
    </w:p>
    <w:p w14:paraId="2829EF62">
      <w:pPr>
        <w:spacing w:line="560" w:lineRule="exact"/>
        <w:ind w:firstLine="640" w:firstLineChars="200"/>
        <w:outlineLvl w:val="2"/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  <w:t>提升教师幸福感：评估项目对教师幸福感的提升效果。</w:t>
      </w:r>
    </w:p>
    <w:p w14:paraId="55ED6453">
      <w:pPr>
        <w:spacing w:line="560" w:lineRule="exact"/>
        <w:ind w:firstLine="640" w:firstLineChars="200"/>
        <w:outlineLvl w:val="2"/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  <w:t>保障学校教育服务质量：评估项目对学校教育服务质量的保障效果。</w:t>
      </w:r>
    </w:p>
    <w:p w14:paraId="3700FD26">
      <w:pPr>
        <w:spacing w:line="560" w:lineRule="exact"/>
        <w:ind w:firstLine="640" w:firstLineChars="200"/>
        <w:outlineLvl w:val="2"/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  <w:t>满意度指标：</w:t>
      </w:r>
    </w:p>
    <w:p w14:paraId="764AB1D9">
      <w:pPr>
        <w:spacing w:line="560" w:lineRule="exact"/>
        <w:ind w:firstLine="640" w:firstLineChars="200"/>
        <w:outlineLvl w:val="2"/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  <w:t>教师对待遇的满意度：通过问卷调查等方式了解教师对项目的满意度。</w:t>
      </w:r>
    </w:p>
    <w:p w14:paraId="7A71D33D">
      <w:pPr>
        <w:spacing w:line="560" w:lineRule="exact"/>
        <w:ind w:firstLine="640" w:firstLineChars="200"/>
        <w:outlineLvl w:val="2"/>
        <w:rPr>
          <w:rFonts w:hint="eastAsia" w:ascii="楷体_GB2312" w:hAnsi="仿宋_GB2312" w:eastAsia="楷体_GB2312" w:cs="Times New Roman"/>
          <w:sz w:val="32"/>
          <w:szCs w:val="32"/>
          <w:highlight w:val="none"/>
        </w:rPr>
      </w:pPr>
      <w:r>
        <w:rPr>
          <w:rFonts w:hint="eastAsia" w:ascii="楷体_GB2312" w:hAnsi="仿宋_GB2312" w:eastAsia="楷体_GB2312" w:cs="Times New Roman"/>
          <w:sz w:val="32"/>
          <w:szCs w:val="32"/>
          <w:highlight w:val="none"/>
        </w:rPr>
        <w:t>（二）评价组织实施及流程</w:t>
      </w:r>
    </w:p>
    <w:p w14:paraId="04625921">
      <w:pPr>
        <w:spacing w:line="560" w:lineRule="exact"/>
        <w:ind w:firstLine="640" w:firstLineChars="200"/>
        <w:outlineLvl w:val="1"/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  <w:t>学校成立了教师节经费项目绩效评价工作小组，负责组织实施绩效评价工作。评价工作按照以下流程进行：</w:t>
      </w:r>
    </w:p>
    <w:p w14:paraId="5B6B4B56">
      <w:pPr>
        <w:spacing w:line="560" w:lineRule="exact"/>
        <w:ind w:firstLine="640" w:firstLineChars="200"/>
        <w:outlineLvl w:val="1"/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  <w:t>前期准备：制定评价工作方案，明确评价指标、评价方法和评价时间安排。</w:t>
      </w:r>
    </w:p>
    <w:p w14:paraId="00B14232">
      <w:pPr>
        <w:spacing w:line="560" w:lineRule="exact"/>
        <w:ind w:firstLine="640" w:firstLineChars="200"/>
        <w:outlineLvl w:val="1"/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  <w:t>数据收集：通过财务报表、问卷调查、访谈等方式收集项目实施过程中的相关数据和资料。</w:t>
      </w:r>
    </w:p>
    <w:p w14:paraId="734C28E1">
      <w:pPr>
        <w:spacing w:line="560" w:lineRule="exact"/>
        <w:ind w:firstLine="640" w:firstLineChars="200"/>
        <w:outlineLvl w:val="1"/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  <w:t>数据分析：对收集到的数据进行整理和分析，对照评价指标进行评估。</w:t>
      </w:r>
    </w:p>
    <w:p w14:paraId="053CDEA2">
      <w:pPr>
        <w:spacing w:line="560" w:lineRule="exact"/>
        <w:ind w:firstLine="640" w:firstLineChars="200"/>
        <w:outlineLvl w:val="1"/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  <w:t>撰写评价报告：根据数据分析结果，撰写项目绩效评价报告，总结项目实施情况，提出存在的问题及改进建议。</w:t>
      </w:r>
    </w:p>
    <w:p w14:paraId="113E66A1">
      <w:pPr>
        <w:spacing w:line="560" w:lineRule="exact"/>
        <w:ind w:firstLine="640" w:firstLineChars="200"/>
        <w:outlineLvl w:val="1"/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  <w:t>结果反馈与应用：将评价结果反馈给相关部门和人员，作为今后项目改进和决策的依据。</w:t>
      </w:r>
    </w:p>
    <w:p w14:paraId="120EBDD2">
      <w:pPr>
        <w:spacing w:line="560" w:lineRule="exact"/>
        <w:ind w:firstLine="640" w:firstLineChars="200"/>
        <w:outlineLvl w:val="1"/>
        <w:rPr>
          <w:rFonts w:hint="eastAsia" w:ascii="黑体" w:hAnsi="黑体" w:eastAsia="黑体" w:cs="Times New Roman"/>
          <w:sz w:val="32"/>
          <w:szCs w:val="32"/>
          <w:highlight w:val="none"/>
        </w:rPr>
      </w:pPr>
      <w:r>
        <w:rPr>
          <w:rFonts w:hint="eastAsia" w:ascii="黑体" w:hAnsi="黑体" w:eastAsia="黑体" w:cs="Times New Roman"/>
          <w:sz w:val="32"/>
          <w:szCs w:val="32"/>
          <w:highlight w:val="none"/>
        </w:rPr>
        <w:t>三、项目绩效情况</w:t>
      </w:r>
    </w:p>
    <w:p w14:paraId="63797DBA">
      <w:pPr>
        <w:spacing w:line="560" w:lineRule="exact"/>
        <w:ind w:firstLine="640" w:firstLineChars="200"/>
        <w:outlineLvl w:val="2"/>
        <w:rPr>
          <w:rFonts w:hint="eastAsia" w:ascii="楷体_GB2312" w:hAnsi="Calibri" w:eastAsia="楷体_GB2312" w:cs="Times New Roman"/>
          <w:sz w:val="32"/>
          <w:szCs w:val="32"/>
          <w:highlight w:val="none"/>
        </w:rPr>
      </w:pPr>
      <w:r>
        <w:rPr>
          <w:rFonts w:hint="eastAsia" w:ascii="楷体_GB2312" w:hAnsi="Calibri" w:eastAsia="楷体_GB2312" w:cs="Times New Roman"/>
          <w:sz w:val="32"/>
          <w:szCs w:val="32"/>
          <w:highlight w:val="none"/>
        </w:rPr>
        <w:t>（一）绩效目标完成情况</w:t>
      </w:r>
    </w:p>
    <w:p w14:paraId="2EDB9D7A">
      <w:pPr>
        <w:spacing w:line="560" w:lineRule="exact"/>
        <w:ind w:firstLine="640" w:firstLineChars="200"/>
        <w:outlineLvl w:val="2"/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  <w:t>（一）绩效目标完成情况</w:t>
      </w:r>
    </w:p>
    <w:p w14:paraId="06CAA938">
      <w:pPr>
        <w:spacing w:line="560" w:lineRule="exact"/>
        <w:ind w:firstLine="640" w:firstLineChars="200"/>
        <w:outlineLvl w:val="2"/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  <w:t>经过一年的努力，教师节经费项目基本完成了年初设定的绩效目标：</w:t>
      </w:r>
    </w:p>
    <w:p w14:paraId="5B6D3C8D">
      <w:pPr>
        <w:spacing w:line="560" w:lineRule="exact"/>
        <w:ind w:firstLine="640" w:firstLineChars="200"/>
        <w:outlineLvl w:val="2"/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  <w:t>完成指标人数：23人，完成率 100%。</w:t>
      </w:r>
    </w:p>
    <w:p w14:paraId="4BD6DEB5">
      <w:pPr>
        <w:spacing w:line="560" w:lineRule="exact"/>
        <w:ind w:firstLine="640" w:firstLineChars="200"/>
        <w:outlineLvl w:val="2"/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  <w:t>经费发放合规率：100%。</w:t>
      </w:r>
    </w:p>
    <w:p w14:paraId="62E46F9B">
      <w:pPr>
        <w:spacing w:line="560" w:lineRule="exact"/>
        <w:ind w:firstLine="640" w:firstLineChars="200"/>
        <w:outlineLvl w:val="2"/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  <w:t>教师节经费合规性：合规。</w:t>
      </w:r>
    </w:p>
    <w:p w14:paraId="0765BFD9">
      <w:pPr>
        <w:spacing w:line="560" w:lineRule="exact"/>
        <w:ind w:firstLine="640" w:firstLineChars="200"/>
        <w:outlineLvl w:val="2"/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  <w:t>项目完成时间：在 2024 年 12 月 31 日前完成。</w:t>
      </w:r>
    </w:p>
    <w:p w14:paraId="6EDA4C1A">
      <w:pPr>
        <w:spacing w:line="560" w:lineRule="exact"/>
        <w:ind w:firstLine="640" w:firstLineChars="200"/>
        <w:outlineLvl w:val="2"/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  <w:t>项目总成本：14799元，符合预算要求。</w:t>
      </w:r>
    </w:p>
    <w:p w14:paraId="73B1A2E0">
      <w:pPr>
        <w:spacing w:line="560" w:lineRule="exact"/>
        <w:ind w:firstLine="640" w:firstLineChars="200"/>
        <w:outlineLvl w:val="2"/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  <w:t>提升教师幸福感：项目有效提升了教师的职业幸福感，增强了教师队伍的凝聚力和向心力。</w:t>
      </w:r>
    </w:p>
    <w:p w14:paraId="3041BE26">
      <w:pPr>
        <w:spacing w:line="560" w:lineRule="exact"/>
        <w:ind w:firstLine="640" w:firstLineChars="200"/>
        <w:outlineLvl w:val="2"/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  <w:t>保障学校教育服务质量：项目促进了学校教育服务质量的提升，保障了学校教育事业的健康发展。</w:t>
      </w:r>
    </w:p>
    <w:p w14:paraId="33026DB2">
      <w:pPr>
        <w:spacing w:line="560" w:lineRule="exact"/>
        <w:ind w:firstLine="640" w:firstLineChars="200"/>
        <w:outlineLvl w:val="2"/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  <w:t>教师对待遇的满意度：100%，达到预期目标。</w:t>
      </w:r>
    </w:p>
    <w:p w14:paraId="6E6E53C8">
      <w:pPr>
        <w:spacing w:line="560" w:lineRule="exact"/>
        <w:ind w:firstLine="640" w:firstLineChars="200"/>
        <w:outlineLvl w:val="2"/>
        <w:rPr>
          <w:rFonts w:hint="eastAsia" w:ascii="楷体_GB2312" w:hAnsi="Calibri" w:eastAsia="楷体_GB2312" w:cs="Times New Roman"/>
          <w:sz w:val="32"/>
          <w:szCs w:val="32"/>
          <w:highlight w:val="none"/>
        </w:rPr>
      </w:pPr>
      <w:r>
        <w:rPr>
          <w:rFonts w:hint="eastAsia" w:ascii="楷体_GB2312" w:hAnsi="Calibri" w:eastAsia="楷体_GB2312" w:cs="Times New Roman"/>
          <w:sz w:val="32"/>
          <w:szCs w:val="32"/>
          <w:highlight w:val="none"/>
        </w:rPr>
        <w:t>（二）绩效分析</w:t>
      </w:r>
    </w:p>
    <w:p w14:paraId="3727AF88">
      <w:pPr>
        <w:spacing w:line="560" w:lineRule="exact"/>
        <w:ind w:firstLine="640" w:firstLineChars="200"/>
        <w:outlineLvl w:val="2"/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  <w:t>资金管理方面：项目资金管理较为规范，资金落实及时，使用合规，未发现违规使用资金的情况。资金使用效率较高，基本满足了项目实施的需求。</w:t>
      </w:r>
    </w:p>
    <w:p w14:paraId="6F1802C6">
      <w:pPr>
        <w:spacing w:line="560" w:lineRule="exact"/>
        <w:ind w:firstLine="640" w:firstLineChars="200"/>
        <w:outlineLvl w:val="2"/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  <w:t>项目实施方面：在资金使用方向调整、资金拨付等环节均按照计划顺利实施，各项绩效目标基本达成。通过定期监督检查，及时发现并解决了项目实施过程中存在的问题，保障了项目的顺利推进。</w:t>
      </w:r>
    </w:p>
    <w:p w14:paraId="0DF54389">
      <w:pPr>
        <w:spacing w:line="560" w:lineRule="exact"/>
        <w:ind w:firstLine="640" w:firstLineChars="200"/>
        <w:outlineLvl w:val="2"/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  <w:t>项目效益方面：项目有效提升了教师的职业幸福感，增强了教师队伍的凝聚力和向心力，促进了学校教育服务质量的提升，保障了学校教育事业的健康发展。</w:t>
      </w:r>
    </w:p>
    <w:p w14:paraId="644C769D">
      <w:pPr>
        <w:spacing w:line="560" w:lineRule="exact"/>
        <w:ind w:firstLine="640" w:firstLineChars="200"/>
        <w:outlineLvl w:val="2"/>
        <w:rPr>
          <w:rFonts w:hint="eastAsia" w:ascii="楷体_GB2312" w:hAnsi="Calibri" w:eastAsia="楷体_GB2312" w:cs="Times New Roman"/>
          <w:sz w:val="32"/>
          <w:szCs w:val="32"/>
          <w:highlight w:val="none"/>
        </w:rPr>
      </w:pPr>
      <w:r>
        <w:rPr>
          <w:rFonts w:hint="eastAsia" w:ascii="楷体_GB2312" w:hAnsi="Calibri" w:eastAsia="楷体_GB2312" w:cs="Times New Roman"/>
          <w:sz w:val="32"/>
          <w:szCs w:val="32"/>
          <w:highlight w:val="none"/>
        </w:rPr>
        <w:t>（三）总体评价</w:t>
      </w:r>
    </w:p>
    <w:p w14:paraId="7D16FB8F">
      <w:pPr>
        <w:spacing w:line="560" w:lineRule="exact"/>
        <w:ind w:firstLine="640" w:firstLineChars="200"/>
        <w:outlineLvl w:val="2"/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  <w:t>总体而言，2024 年环江毛南族自治县第四初级中学教师节经费项目实施效果良好，基本达到了预期的绩效目标。项目资金管理规范，项目实施顺利，取得了较好的社会效益，为教师提供了有力支持，促进了学校教育事业的健康发展。</w:t>
      </w:r>
    </w:p>
    <w:p w14:paraId="38DD2CFF">
      <w:pPr>
        <w:spacing w:line="560" w:lineRule="exact"/>
        <w:ind w:firstLine="640" w:firstLineChars="200"/>
        <w:outlineLvl w:val="1"/>
        <w:rPr>
          <w:rFonts w:hint="eastAsia" w:ascii="黑体" w:hAnsi="黑体" w:eastAsia="黑体" w:cs="Times New Roman"/>
          <w:sz w:val="32"/>
          <w:szCs w:val="32"/>
          <w:highlight w:val="none"/>
        </w:rPr>
      </w:pPr>
      <w:r>
        <w:rPr>
          <w:rFonts w:hint="eastAsia" w:ascii="黑体" w:hAnsi="黑体" w:eastAsia="黑体" w:cs="Times New Roman"/>
          <w:sz w:val="32"/>
          <w:szCs w:val="32"/>
          <w:highlight w:val="none"/>
        </w:rPr>
        <w:t>四、主要经验做法、存在的问题和原因分析</w:t>
      </w:r>
    </w:p>
    <w:p w14:paraId="63A84437">
      <w:pPr>
        <w:spacing w:line="560" w:lineRule="exact"/>
        <w:ind w:firstLine="640" w:firstLineChars="200"/>
        <w:outlineLvl w:val="1"/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  <w:t>（一）主要经验做法</w:t>
      </w:r>
    </w:p>
    <w:p w14:paraId="563C7F50">
      <w:pPr>
        <w:spacing w:line="560" w:lineRule="exact"/>
        <w:ind w:firstLine="640" w:firstLineChars="200"/>
        <w:outlineLvl w:val="1"/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  <w:t>加强资金管理：建立健全项目资金管理制度，严格审批流程，确保资金使用合规、高效。</w:t>
      </w:r>
    </w:p>
    <w:p w14:paraId="3D2B934F">
      <w:pPr>
        <w:spacing w:line="560" w:lineRule="exact"/>
        <w:ind w:firstLine="640" w:firstLineChars="200"/>
        <w:outlineLvl w:val="1"/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  <w:t>精准资金分配：根据教师实际需求，合理分配资金，确保资金使用方向符合项目目标。</w:t>
      </w:r>
    </w:p>
    <w:p w14:paraId="058728E4">
      <w:pPr>
        <w:spacing w:line="560" w:lineRule="exact"/>
        <w:ind w:firstLine="640" w:firstLineChars="200"/>
        <w:outlineLvl w:val="1"/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  <w:t>强化监督检查：建立项目监督检查机制，定期对项目实施情况进行检查和评估，及时发现并解决问题，保障项目的顺利实施。</w:t>
      </w:r>
    </w:p>
    <w:p w14:paraId="7ABA5E0A">
      <w:pPr>
        <w:spacing w:line="560" w:lineRule="exact"/>
        <w:ind w:firstLine="640" w:firstLineChars="200"/>
        <w:outlineLvl w:val="1"/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  <w:t>注重教师需求：通过问卷调查等方式，了解教师对项目的需求和建议，及时调整项目实施方向，确保项目实施效果。</w:t>
      </w:r>
    </w:p>
    <w:p w14:paraId="1C4ED38D">
      <w:pPr>
        <w:spacing w:line="560" w:lineRule="exact"/>
        <w:ind w:firstLine="640" w:firstLineChars="200"/>
        <w:outlineLvl w:val="1"/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  <w:t>（二）存在的问题</w:t>
      </w:r>
    </w:p>
    <w:p w14:paraId="4E5DE49E">
      <w:pPr>
        <w:spacing w:line="560" w:lineRule="exact"/>
        <w:ind w:firstLine="640" w:firstLineChars="200"/>
        <w:outlineLvl w:val="1"/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  <w:t>宣传力度不足：部分教师对项目的具体内容和目标了解不够深入，建议进一步加大宣传力度，提高教师对项目的知晓度。</w:t>
      </w:r>
    </w:p>
    <w:p w14:paraId="1AAD5B1B">
      <w:pPr>
        <w:spacing w:line="560" w:lineRule="exact"/>
        <w:ind w:firstLine="640" w:firstLineChars="200"/>
        <w:outlineLvl w:val="1"/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  <w:t>项目可持续性不足：项目主要依赖财政拨款，缺乏长期稳定的资金来源，建议进一步探索多元化的资金支持渠道，确保项目的可持续性。</w:t>
      </w:r>
    </w:p>
    <w:p w14:paraId="1F6E6FFE">
      <w:pPr>
        <w:spacing w:line="560" w:lineRule="exact"/>
        <w:ind w:firstLine="640" w:firstLineChars="200"/>
        <w:outlineLvl w:val="1"/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  <w:t>（三）原因分析</w:t>
      </w:r>
    </w:p>
    <w:p w14:paraId="1476658F">
      <w:pPr>
        <w:spacing w:line="560" w:lineRule="exact"/>
        <w:ind w:firstLine="640" w:firstLineChars="200"/>
        <w:outlineLvl w:val="1"/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  <w:t>宣传力度不足：主要是由于宣传渠道有限，部分教师未能及时获取项目信息。此外，部分教师对项目政策的理解存在偏差，导致宣传效果不佳。</w:t>
      </w:r>
    </w:p>
    <w:p w14:paraId="1BABB3E3">
      <w:pPr>
        <w:spacing w:line="560" w:lineRule="exact"/>
        <w:ind w:firstLine="640" w:firstLineChars="200"/>
        <w:outlineLvl w:val="1"/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  <w:t>项目可持续性不足：主要是由于项目资金主要来源于财政拨款，缺乏其他稳定的资金来源，导致项目在资金保障方面存在一定的不确定性。</w:t>
      </w:r>
    </w:p>
    <w:p w14:paraId="0D5B5980">
      <w:pPr>
        <w:spacing w:line="560" w:lineRule="exact"/>
        <w:ind w:firstLine="640" w:firstLineChars="200"/>
        <w:outlineLvl w:val="1"/>
        <w:rPr>
          <w:rFonts w:hint="eastAsia"/>
        </w:rPr>
      </w:pPr>
      <w:r>
        <w:rPr>
          <w:rFonts w:hint="eastAsia" w:ascii="黑体" w:hAnsi="黑体" w:eastAsia="黑体" w:cs="Times New Roman"/>
          <w:sz w:val="32"/>
          <w:szCs w:val="32"/>
          <w:highlight w:val="none"/>
        </w:rPr>
        <w:t>五、工作改进建议</w:t>
      </w:r>
    </w:p>
    <w:bookmarkEnd w:id="0"/>
    <w:p w14:paraId="0FAD401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  <w:t>加大宣传力度：拓宽宣传渠道，通过学校官网、微信公众号、教职工大会等多种方式，加强对项目政策的宣传，提高教师对项目的知晓度和满意度。</w:t>
      </w:r>
    </w:p>
    <w:p w14:paraId="503AE65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  <w:t>探索多元化资金来源：积极争取社会捐赠、企业赞助等多元化资金支持，确保项目的可持续性。</w:t>
      </w:r>
    </w:p>
    <w:p w14:paraId="7A0EA1D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  <w:t>加强沟通交流：定期与教师进行沟通交流，及时了解他们的需求和建议，不断优化项目实施过程，提高项目实施效果。</w:t>
      </w:r>
    </w:p>
    <w:p w14:paraId="1A6D6EE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  <w:t>完善监督检查机制：进一步完善项目监督检查机制，定期对项目实施情况进行全面检查和评估，及时发现并解决问题，确保项目资金使用安全、合规、高效。</w:t>
      </w:r>
    </w:p>
    <w:p w14:paraId="0C99B22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/>
          <w:lang w:val="en-US" w:eastAsia="zh-CN"/>
        </w:rPr>
      </w:pPr>
      <w:r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  <w:t>通过以上改进措施，进一步提升教师节经费项目的实施效果，为教师提供更好的支持，促进学校教育事业的健康发展。</w:t>
      </w:r>
    </w:p>
    <w:p w14:paraId="64620E0E">
      <w:pPr>
        <w:spacing w:line="500" w:lineRule="exact"/>
        <w:ind w:firstLine="3520" w:firstLineChars="1100"/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  <w:t>环江毛南族自治县第四初级中学</w:t>
      </w:r>
    </w:p>
    <w:p w14:paraId="4D5EB74A">
      <w:pPr>
        <w:spacing w:line="500" w:lineRule="exact"/>
        <w:ind w:firstLine="640" w:firstLineChars="200"/>
        <w:jc w:val="center"/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  <w:t xml:space="preserve">                  </w:t>
      </w:r>
      <w:bookmarkStart w:id="1" w:name="_GoBack"/>
      <w:bookmarkEnd w:id="1"/>
      <w:r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  <w:t>2025年4月24日</w:t>
      </w:r>
    </w:p>
    <w:p w14:paraId="36FD427E">
      <w:pPr>
        <w:rPr>
          <w:rFonts w:hint="eastAsia"/>
          <w:lang w:val="en-US" w:eastAsia="zh-CN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E2C2866B-403E-419A-AB83-4675763024D0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48D0661A-BE4A-4A4C-A703-B0551F063AE1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2010600010101010101"/>
    <w:charset w:val="86"/>
    <w:family w:val="auto"/>
    <w:pitch w:val="default"/>
    <w:sig w:usb0="00000001" w:usb1="080E0000" w:usb2="00000000" w:usb3="00000000" w:csb0="00040000" w:csb1="00000000"/>
    <w:embedRegular r:id="rId3" w:fontKey="{F307E095-9F3F-4BFA-9B32-026020EF200F}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  <w:embedRegular r:id="rId4" w:fontKey="{6F39970F-BFD2-4A9B-8F7D-48E838F87E4E}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  <w:embedRegular r:id="rId5" w:fontKey="{D6DF5ADB-34F5-4538-9DAB-B37CC1DB03DC}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DF61B96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FDC8DE3">
                          <w:pPr>
                            <w:pStyle w:val="3"/>
                            <w:rPr>
                              <w:rFonts w:hint="eastAsia" w:asciiTheme="majorEastAsia" w:hAnsiTheme="majorEastAsia" w:eastAsiaTheme="majorEastAsia" w:cstheme="majorEastAsia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Theme="majorEastAsia" w:hAnsiTheme="majorEastAsia" w:eastAsiaTheme="majorEastAsia" w:cstheme="majorEastAsia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hint="eastAsia" w:asciiTheme="majorEastAsia" w:hAnsiTheme="majorEastAsia" w:eastAsiaTheme="majorEastAsia" w:cstheme="majorEastAsia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Theme="majorEastAsia" w:hAnsiTheme="majorEastAsia" w:eastAsiaTheme="majorEastAsia" w:cstheme="majorEastAsia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ajorEastAsia" w:hAnsiTheme="majorEastAsia" w:eastAsiaTheme="majorEastAsia" w:cstheme="majorEastAsia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ajorEastAsia" w:hAnsiTheme="majorEastAsia" w:eastAsiaTheme="majorEastAsia" w:cstheme="majorEastAsia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Theme="majorEastAsia" w:hAnsiTheme="majorEastAsia" w:eastAsiaTheme="majorEastAsia" w:cstheme="majorEastAsia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Theme="majorEastAsia" w:hAnsiTheme="majorEastAsia" w:eastAsiaTheme="majorEastAsia" w:cstheme="majorEastAsia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GA044yAgAAYQQAAA4AAABkcnMvZTJvRG9jLnhtbK1UzY7TMBC+I/EO&#10;lu80aStW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pm/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4YDTjj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FDC8DE3">
                    <w:pPr>
                      <w:pStyle w:val="3"/>
                      <w:rPr>
                        <w:rFonts w:hint="eastAsia" w:asciiTheme="majorEastAsia" w:hAnsiTheme="majorEastAsia" w:eastAsiaTheme="majorEastAsia" w:cstheme="majorEastAsia"/>
                        <w:sz w:val="28"/>
                        <w:szCs w:val="28"/>
                      </w:rPr>
                    </w:pPr>
                    <w:r>
                      <w:rPr>
                        <w:rFonts w:hint="eastAsia" w:asciiTheme="majorEastAsia" w:hAnsiTheme="majorEastAsia" w:eastAsiaTheme="majorEastAsia" w:cstheme="majorEastAsia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hint="eastAsia" w:asciiTheme="majorEastAsia" w:hAnsiTheme="majorEastAsia" w:eastAsiaTheme="majorEastAsia" w:cstheme="majorEastAsia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Theme="majorEastAsia" w:hAnsiTheme="majorEastAsia" w:eastAsiaTheme="majorEastAsia" w:cstheme="majorEastAsia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Theme="majorEastAsia" w:hAnsiTheme="majorEastAsia" w:eastAsiaTheme="majorEastAsia" w:cstheme="majorEastAsia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Theme="majorEastAsia" w:hAnsiTheme="majorEastAsia" w:eastAsiaTheme="majorEastAsia" w:cstheme="majorEastAsia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Theme="majorEastAsia" w:hAnsiTheme="majorEastAsia" w:eastAsiaTheme="majorEastAsia" w:cstheme="majorEastAsia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Theme="majorEastAsia" w:hAnsiTheme="majorEastAsia" w:eastAsiaTheme="majorEastAsia" w:cstheme="majorEastAsia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99E698E"/>
    <w:multiLevelType w:val="singleLevel"/>
    <w:tmpl w:val="699E698E"/>
    <w:lvl w:ilvl="0" w:tentative="0">
      <w:start w:val="3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EE2D73"/>
    <w:rsid w:val="084235C5"/>
    <w:rsid w:val="08C32001"/>
    <w:rsid w:val="0B6E2F08"/>
    <w:rsid w:val="0EA27C68"/>
    <w:rsid w:val="1A0102D3"/>
    <w:rsid w:val="21A27164"/>
    <w:rsid w:val="38893319"/>
    <w:rsid w:val="3F300D98"/>
    <w:rsid w:val="44D349F2"/>
    <w:rsid w:val="4E244220"/>
    <w:rsid w:val="4F08747A"/>
    <w:rsid w:val="51D35744"/>
    <w:rsid w:val="5B781951"/>
    <w:rsid w:val="69E5416A"/>
    <w:rsid w:val="6D784570"/>
    <w:rsid w:val="7C7F2F16"/>
    <w:rsid w:val="7FBC2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next w:val="1"/>
    <w:qFormat/>
    <w:uiPriority w:val="0"/>
    <w:pPr>
      <w:keepNext/>
      <w:keepLines/>
      <w:autoSpaceDE/>
      <w:autoSpaceDN/>
      <w:adjustRightInd/>
      <w:snapToGrid/>
      <w:spacing w:line="360" w:lineRule="auto"/>
      <w:ind w:firstLine="600" w:firstLineChars="200"/>
      <w:outlineLvl w:val="2"/>
    </w:pPr>
    <w:rPr>
      <w:rFonts w:ascii="Times New Roman" w:hAnsi="仿宋" w:eastAsia="黑体" w:cs="Times New Roman"/>
      <w:bCs/>
      <w:spacing w:val="0"/>
      <w:kern w:val="0"/>
      <w:szCs w:val="32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5">
    <w:name w:val="Normal (Web)"/>
    <w:basedOn w:val="1"/>
    <w:qFormat/>
    <w:uiPriority w:val="0"/>
    <w:pPr>
      <w:spacing w:before="100" w:beforeAutospacing="1" w:after="100" w:afterAutospacing="1"/>
      <w:jc w:val="left"/>
    </w:pPr>
    <w:rPr>
      <w:rFonts w:ascii="Times New Roman" w:hAnsi="Times New Roman" w:eastAsia="宋体" w:cs="Times New Roman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3488</Words>
  <Characters>3543</Characters>
  <Lines>0</Lines>
  <Paragraphs>0</Paragraphs>
  <TotalTime>92</TotalTime>
  <ScaleCrop>false</ScaleCrop>
  <LinksUpToDate>false</LinksUpToDate>
  <CharactersWithSpaces>3582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2025-04-24T01:46:00Z</dcterms:created>
  <dc:creator>11973</dc:creator>
  <cp:lastModifiedBy>WPS_1740109420</cp:lastModifiedBy>
  <dcterms:modified xsi:type="dcterms:W3CDTF">2025-05-12T09:56:47Z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KSOTemplateDocerSaveRecord">
    <vt:lpwstr>eyJoZGlkIjoiYjY5YTA0ZWQ1N2YwNDE3NzVkYWRkZjQyNWE1NjliOTUiLCJ1c2VySWQiOiIxNjc5OTYwNjkxIn0=</vt:lpwstr>
  </property>
  <property fmtid="{D5CDD505-2E9C-101B-9397-08002B2CF9AE}" pid="4" name="ICV">
    <vt:lpwstr>6D723C029EE64125AC2C425E59A7B85C_12</vt:lpwstr>
  </property>
</Properties>
</file>